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50" w:type="pct"/>
        <w:tblInd w:w="108" w:type="dxa"/>
        <w:tblLook w:val="04A0"/>
      </w:tblPr>
      <w:tblGrid>
        <w:gridCol w:w="751"/>
        <w:gridCol w:w="2407"/>
        <w:gridCol w:w="1364"/>
        <w:gridCol w:w="4713"/>
        <w:gridCol w:w="1645"/>
      </w:tblGrid>
      <w:tr w:rsidR="007E5CB3" w:rsidRPr="007E5CB3" w:rsidTr="007E5CB3">
        <w:trPr>
          <w:trHeight w:val="255"/>
        </w:trPr>
        <w:tc>
          <w:tcPr>
            <w:tcW w:w="836" w:type="dxa"/>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Level</w:t>
            </w:r>
          </w:p>
        </w:tc>
        <w:tc>
          <w:tcPr>
            <w:tcW w:w="2756" w:type="dxa"/>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p>
        </w:tc>
        <w:tc>
          <w:tcPr>
            <w:tcW w:w="6976" w:type="dxa"/>
            <w:gridSpan w:val="2"/>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Provinsi Kalimantan Tengah</w:t>
            </w:r>
          </w:p>
        </w:tc>
        <w:tc>
          <w:tcPr>
            <w:tcW w:w="1872" w:type="dxa"/>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255"/>
        </w:trPr>
        <w:tc>
          <w:tcPr>
            <w:tcW w:w="3592" w:type="dxa"/>
            <w:gridSpan w:val="2"/>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Komponen</w:t>
            </w:r>
          </w:p>
        </w:tc>
        <w:tc>
          <w:tcPr>
            <w:tcW w:w="6976" w:type="dxa"/>
            <w:gridSpan w:val="2"/>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A. Hukum dan Kebijakan</w:t>
            </w:r>
          </w:p>
        </w:tc>
        <w:tc>
          <w:tcPr>
            <w:tcW w:w="1872" w:type="dxa"/>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255"/>
        </w:trPr>
        <w:tc>
          <w:tcPr>
            <w:tcW w:w="836" w:type="dxa"/>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756" w:type="dxa"/>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547" w:type="dxa"/>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429" w:type="dxa"/>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72" w:type="dxa"/>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255"/>
        </w:trPr>
        <w:tc>
          <w:tcPr>
            <w:tcW w:w="3592" w:type="dxa"/>
            <w:gridSpan w:val="2"/>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Isu dalam PGA REDD+</w:t>
            </w:r>
          </w:p>
        </w:tc>
        <w:tc>
          <w:tcPr>
            <w:tcW w:w="6976" w:type="dxa"/>
            <w:gridSpan w:val="2"/>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I. Perencanaan Kehutanan dan Tata Ruang </w:t>
            </w:r>
          </w:p>
        </w:tc>
        <w:tc>
          <w:tcPr>
            <w:tcW w:w="1872" w:type="dxa"/>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705"/>
        </w:trPr>
        <w:tc>
          <w:tcPr>
            <w:tcW w:w="3592" w:type="dxa"/>
            <w:gridSpan w:val="2"/>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8848" w:type="dxa"/>
            <w:gridSpan w:val="3"/>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7E5CB3" w:rsidRPr="007E5CB3" w:rsidTr="007E5CB3">
        <w:trPr>
          <w:trHeight w:val="975"/>
        </w:trPr>
        <w:tc>
          <w:tcPr>
            <w:tcW w:w="3592" w:type="dxa"/>
            <w:gridSpan w:val="2"/>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Objek Analisis</w:t>
            </w:r>
          </w:p>
        </w:tc>
        <w:tc>
          <w:tcPr>
            <w:tcW w:w="8848" w:type="dxa"/>
            <w:gridSpan w:val="3"/>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1250" w:type="pct"/>
        <w:tblInd w:w="103" w:type="dxa"/>
        <w:tblLook w:val="04A0"/>
      </w:tblPr>
      <w:tblGrid>
        <w:gridCol w:w="703"/>
        <w:gridCol w:w="2246"/>
        <w:gridCol w:w="1813"/>
        <w:gridCol w:w="4573"/>
        <w:gridCol w:w="1550"/>
      </w:tblGrid>
      <w:tr w:rsidR="007E5CB3" w:rsidRPr="007E5CB3" w:rsidTr="007E5CB3">
        <w:trPr>
          <w:trHeight w:val="398"/>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325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AIa1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Data/informasi pembuatan RTRW</w:t>
            </w:r>
          </w:p>
        </w:tc>
        <w:tc>
          <w:tcPr>
            <w:tcW w:w="1894" w:type="dxa"/>
            <w:vMerge w:val="restart"/>
            <w:tcBorders>
              <w:top w:val="nil"/>
              <w:left w:val="single" w:sz="4" w:space="0" w:color="auto"/>
              <w:bottom w:val="single" w:sz="4" w:space="0" w:color="000000"/>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 Instruksi Gubernur No. 28 tahun 2006 tentang Kewajiban Melakukan Publikasi Data dan Informasi Daerah Kalimantan tengah kepada Publik.                        2. Perda No. 8 tahun 2003 tentang RTRWP*</w:t>
            </w:r>
          </w:p>
        </w:tc>
        <w:tc>
          <w:tcPr>
            <w:tcW w:w="5355" w:type="dxa"/>
            <w:tcBorders>
              <w:top w:val="single" w:sz="4" w:space="0" w:color="auto"/>
              <w:left w:val="nil"/>
              <w:bottom w:val="single" w:sz="4" w:space="0" w:color="auto"/>
              <w:right w:val="single" w:sz="4" w:space="0" w:color="auto"/>
            </w:tcBorders>
            <w:shd w:val="clear" w:color="000000" w:fill="FFFFFF"/>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 ada 5 diktum dalam Instruksi Gubernur tersebut yang dimulai dengan kewajiban seluruh jajaran Badan, Dinas, lembaga, Unit, satuan Kerja Pemprov Kalteng untuk melakukan publikasi data dan informasi daerah Kalteng dengan 5 ketentuan, yang antara lain terkoordinasi dan menggunakan sarana IT melalui website: www.kalteng.go.id.  2. Sedangkan di Perda 8 th 2003 tentang RTRWP Kalteng Pada Bab VII tentang Hak, Kewajiban dan Peran masyarakat menegaskan hal tersebut, terutama : -Pasal  52, 53, 54, 56, yang menekankan hak dan peran masyarakat sejak dari perencanaan, informasi RTRWP dan hak untuk mendapatkan ganti rugi, dan -Pasal 57 tekait kewajian masyarakat, termasuk memelihara kelestarian lingkungan hidup.</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97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AIa2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Informasi rencana pembentukan RTRW(P)</w:t>
            </w:r>
          </w:p>
        </w:tc>
        <w:tc>
          <w:tcPr>
            <w:tcW w:w="1894" w:type="dxa"/>
            <w:vMerge/>
            <w:tcBorders>
              <w:top w:val="nil"/>
              <w:left w:val="single" w:sz="4" w:space="0" w:color="auto"/>
              <w:bottom w:val="single" w:sz="4" w:space="0" w:color="000000"/>
              <w:right w:val="single" w:sz="4" w:space="0" w:color="auto"/>
            </w:tcBorders>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Pasal 59 memuat tentang ketentuan peran serta masayarakat yang diatur oleh peraturan gubernur. Sayang sekali hingga penelitian ini diaksanakan Pergub dimaksud belum ditemukan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2</w:t>
            </w:r>
          </w:p>
        </w:tc>
      </w:tr>
      <w:tr w:rsidR="007E5CB3" w:rsidRPr="007E5CB3" w:rsidTr="007E5CB3">
        <w:trPr>
          <w:trHeight w:val="1530"/>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AIa3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Pengumuman usulan perubahan peruntukan</w:t>
            </w:r>
          </w:p>
        </w:tc>
        <w:tc>
          <w:tcPr>
            <w:tcW w:w="1894" w:type="dxa"/>
            <w:vMerge/>
            <w:tcBorders>
              <w:top w:val="nil"/>
              <w:left w:val="single" w:sz="4" w:space="0" w:color="auto"/>
              <w:bottom w:val="single" w:sz="4" w:space="0" w:color="000000"/>
              <w:right w:val="single" w:sz="4" w:space="0" w:color="auto"/>
            </w:tcBorders>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single" w:sz="4" w:space="0" w:color="auto"/>
              <w:right w:val="single" w:sz="4" w:space="0" w:color="auto"/>
            </w:tcBorders>
            <w:shd w:val="clear" w:color="000000" w:fill="FFFFFF"/>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Pasal 51 ayat 1 dan ayat 2 merupakan ketentuan tentang perubahan atas rencana tata ruang yang dilakukan paling cepat 5 tahun sekali untuk jangka waktu berlakunya RTRWP 15 tahun. Dan pada Pasal 58 ayat 5 dinyatakan masyarakat dapat berperan serta dalam perubahan atau konversi pemanfaatan ruang sesuai RTRWP.</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5</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AIa4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Kejelasan informasi  yang dapat diakses berdasarkan uji konsekuensi</w:t>
            </w:r>
          </w:p>
        </w:tc>
        <w:tc>
          <w:tcPr>
            <w:tcW w:w="1894" w:type="dxa"/>
            <w:vMerge/>
            <w:tcBorders>
              <w:top w:val="nil"/>
              <w:left w:val="single" w:sz="4" w:space="0" w:color="auto"/>
              <w:bottom w:val="single" w:sz="4" w:space="0" w:color="000000"/>
              <w:right w:val="single" w:sz="4" w:space="0" w:color="auto"/>
            </w:tcBorders>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terkait ini, juga belum ada aturan turunan UU No. 14 th 2008 tentang KIP</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90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saat ini rancangan revisi Perda No. 8 tahun 2003 menjadi Ranperda No x tahun 2007 belum disetujui Pemerintah Pusat, sehingga Gubernur dan Bupati, Walikota serta DPRD Prov, DPRD Kab, dan DPRD Kota menyepakati kembali menggunakan Perda No 8 tahun 2003 sebagai RTRWP Kalimantan Tengah, sambil menunggu keputusan berlakunya RTRWP revisi</w:t>
            </w:r>
          </w:p>
        </w:tc>
        <w:tc>
          <w:tcPr>
            <w:tcW w:w="1789" w:type="dxa"/>
            <w:tcBorders>
              <w:top w:val="nil"/>
              <w:left w:val="nil"/>
              <w:bottom w:val="single" w:sz="4" w:space="0" w:color="auto"/>
              <w:right w:val="single" w:sz="4" w:space="0" w:color="auto"/>
            </w:tcBorders>
            <w:shd w:val="clear" w:color="000000" w:fill="FFFF00"/>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r>
      <w:tr w:rsidR="007E5CB3" w:rsidRPr="007E5CB3" w:rsidTr="007E5CB3">
        <w:trPr>
          <w:trHeight w:val="1178"/>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7E5CB3" w:rsidRPr="007E5CB3" w:rsidTr="007E5CB3">
        <w:trPr>
          <w:trHeight w:val="1035"/>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lastRenderedPageBreak/>
              <w:t>Objek Analisis</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103"/>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AIb1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Perda No. 8 tahun 2003 tentang RTRWP*</w:t>
            </w:r>
          </w:p>
        </w:tc>
        <w:tc>
          <w:tcPr>
            <w:tcW w:w="5355" w:type="dxa"/>
            <w:tcBorders>
              <w:top w:val="nil"/>
              <w:left w:val="nil"/>
              <w:bottom w:val="nil"/>
              <w:right w:val="double" w:sz="6"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1. Belum ada aturan spesifik, seperti Pelibatan Masyarakat dalam penyusunan Ranperda seperti di beberapa daerah.                            2. Namun di pasal 59 butir 1, butir 2, butir 3 meskipun tidak dijelaskan secara rinci disebutkan partisipasi masyarakat. </w:t>
            </w:r>
          </w:p>
        </w:tc>
        <w:tc>
          <w:tcPr>
            <w:tcW w:w="1789"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91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AIb2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Petugas khusus yang bertanggung jawab mengelola masukan publik</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SK Gub no. 188.44/82/2011</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Di lampiran III SK Gub terkait BKPRD, pada tugas BKPRD bagian a. Butir 15. Mengoptimalkan peran masayarakat dalam perencanaan tata ruang</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4</w:t>
            </w:r>
          </w:p>
        </w:tc>
      </w:tr>
      <w:tr w:rsidR="007E5CB3" w:rsidRPr="007E5CB3" w:rsidTr="007E5CB3">
        <w:trPr>
          <w:trHeight w:val="1380"/>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AIb3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Dokumentasi setiap masukan (tertulis/tidak tertulis)</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SK Gub no. 188.44/82/2011</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Merujuk pada jawaban di AIb2, bisa diikatakan ada petugas yang mendokumentasikan dengan baik, atas setiap masukan dari masyarakat. Meskipun dari wawancara ke LSM hal ini tidak jelas</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4</w:t>
            </w:r>
          </w:p>
        </w:tc>
      </w:tr>
      <w:tr w:rsidR="007E5CB3" w:rsidRPr="007E5CB3" w:rsidTr="007E5CB3">
        <w:trPr>
          <w:trHeight w:val="870"/>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AIb4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respon terhadap masukan yang ada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Di Tugas BKPRD, meskipun tidak ditulis secara detail</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1440"/>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AIb5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Penjelasan atas keputusan akhir yang diambil</w:t>
            </w:r>
          </w:p>
        </w:tc>
        <w:tc>
          <w:tcPr>
            <w:tcW w:w="1894" w:type="dxa"/>
            <w:tcBorders>
              <w:top w:val="nil"/>
              <w:left w:val="nil"/>
              <w:bottom w:val="single" w:sz="4" w:space="0" w:color="auto"/>
              <w:right w:val="single" w:sz="4" w:space="0" w:color="auto"/>
            </w:tcBorders>
            <w:shd w:val="clear" w:color="000000" w:fill="FFFFFF"/>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Dalam bentuk sosialisasi atau pengumuman resmi seperti disebut pada pasal 53 yang disebutkan bisa dilihat di lembaran daerah, pengumuman, atau penyebar luasan oleh pemerintah provinsi</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2472"/>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AIb6</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Pelaksanaan proses partisipasi</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Perda no 8 th 2003 dan SK Gub no  88.44/82/2011Perda no 16 th 2008</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Baik di Perda no 8 tahun 2003 terutama di Bab Hak, kewajiban dan peran masyarakat dan di SK Gub no 188.44/82/2011 tentang Badan Koordinasi Penataan Ruang Daerah (BKPRD) ada tugas dari kelompok kerja tata ruang yang menangani partisipasi masyarakat.  Demikian pula pada Perda no  16 tahun 2008 tentang Lembaga Adat dimana ada peran lembaga adat</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4</w:t>
            </w:r>
          </w:p>
        </w:tc>
      </w:tr>
      <w:tr w:rsidR="007E5CB3" w:rsidRPr="007E5CB3" w:rsidTr="007E5CB3">
        <w:trPr>
          <w:trHeight w:val="255"/>
        </w:trPr>
        <w:tc>
          <w:tcPr>
            <w:tcW w:w="791"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6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7E5CB3" w:rsidRPr="007E5CB3" w:rsidTr="007E5CB3">
        <w:trPr>
          <w:trHeight w:val="12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Objek Analisis</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7E5CB3" w:rsidRPr="007E5CB3" w:rsidTr="007E5CB3">
        <w:trPr>
          <w:trHeight w:val="255"/>
        </w:trPr>
        <w:tc>
          <w:tcPr>
            <w:tcW w:w="791" w:type="dxa"/>
            <w:tcBorders>
              <w:top w:val="single" w:sz="4" w:space="0" w:color="auto"/>
              <w:left w:val="single" w:sz="4" w:space="0" w:color="auto"/>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3060"/>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AIc1</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894" w:type="dxa"/>
            <w:tcBorders>
              <w:top w:val="single" w:sz="4" w:space="0" w:color="auto"/>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yang menga-tur program peningkatan kapasi-tas masyarakat Adat/ Lokal dalam perencanaan kehutanan dan wilayah; peran serta masyarakat sekedar dalam bentuk partisipasi aktif dan ketaatan sesuai kaidah perundangan yang berlaku, kalaupun ada penambahan dari masyarakat berupa  hal2  yang telah mereka jalankan secara turun temurun. Seperti tercantum dalam Pasal 56 Dalam kegiatan penataan ruang di daerah, masyarakat wajib:1.Berperan serta dalam memelihara kualitas ruang ; 2. Berlaku tertib dalan keikutsertaanya dalam proses perencanaan tata ruang, pemanfaatan ruang dan pengendalian pemanfaatan ruang: 1. Menaati rencana tata ruang yang telah ditetapkan</w:t>
            </w:r>
          </w:p>
        </w:tc>
        <w:tc>
          <w:tcPr>
            <w:tcW w:w="1789" w:type="dxa"/>
            <w:tcBorders>
              <w:top w:val="single" w:sz="4" w:space="0" w:color="auto"/>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AIc2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yang menga-tur program peningkatan kapasi-tas pemerintah dalam perenca-naan kehutanan dan wilayah</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45"/>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7E5CB3" w:rsidRPr="007E5CB3" w:rsidTr="007E5CB3">
        <w:trPr>
          <w:trHeight w:val="1005"/>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7E5CB3" w:rsidRPr="007E5CB3" w:rsidTr="007E5CB3">
        <w:trPr>
          <w:trHeight w:val="255"/>
        </w:trPr>
        <w:tc>
          <w:tcPr>
            <w:tcW w:w="791" w:type="dxa"/>
            <w:tcBorders>
              <w:top w:val="single" w:sz="4" w:space="0" w:color="auto"/>
              <w:left w:val="single" w:sz="4" w:space="0" w:color="auto"/>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76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AId1</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894"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Perda No 5 Tahun 2011</w:t>
            </w:r>
          </w:p>
        </w:tc>
        <w:tc>
          <w:tcPr>
            <w:tcW w:w="5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aturan, tapi kurang baik me-ngatur mekanisme pengaduan; karena hanya mengatur untuk sektor perkebunan</w:t>
            </w:r>
          </w:p>
        </w:tc>
        <w:tc>
          <w:tcPr>
            <w:tcW w:w="1789" w:type="dxa"/>
            <w:tcBorders>
              <w:top w:val="single" w:sz="4" w:space="0" w:color="auto"/>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2</w:t>
            </w:r>
          </w:p>
        </w:tc>
      </w:tr>
      <w:tr w:rsidR="007E5CB3" w:rsidRPr="007E5CB3" w:rsidTr="007E5CB3">
        <w:trPr>
          <w:trHeight w:val="1710"/>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AId2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resolusi konflik</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SK Gub no… tim Penyelesaian Sengketa Lahan*)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aturan, tetapi kurang baik mengatur mekanisme resolusi konflik dengan baik; Karena hanya mengatur mekanisme resolusi konflik di sektor perkebunan. Pada Bab VII, Pasal 55 (mekanismeny diatur dalam 7 ayat). Dari ifnormasi yg didapat belum ada SOP selain mekanisme koordinasi birokrasi rutin dengan perhatian khusus</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2</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AId3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Keahlian &amp; pemahaman mediator tentang isu-isu masyarakat adat/lokal</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yang menga-tur keahlian &amp; pemahaman me-diator tentang isu-isu masyarakat adat/lokal</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SK Gub terkait Tim Penyelesaian Sengketa Lahan hingga penelitian ini dilakukan tdk berhasil didapat nomor dan tahunnya, pejabat sdg diluar.</w:t>
            </w: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255"/>
        </w:trPr>
        <w:tc>
          <w:tcPr>
            <w:tcW w:w="791"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3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Isu dalam PGA REDD+</w:t>
            </w:r>
          </w:p>
        </w:tc>
        <w:tc>
          <w:tcPr>
            <w:tcW w:w="7249"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II.Pengaturan Hak</w:t>
            </w: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6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7E5CB3" w:rsidRPr="007E5CB3" w:rsidTr="007E5CB3">
        <w:trPr>
          <w:trHeight w:val="6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42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AIIa1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Ketersediaan seluruh informasi secara sistematis sehingga mudah diakses</w:t>
            </w:r>
          </w:p>
        </w:tc>
        <w:tc>
          <w:tcPr>
            <w:tcW w:w="1894"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 1. Instruksi Gubernur No. 28 tahun 2006 tentang Kewajiban Melakukan Publikasi Data dan Informasi Daerah Kalimantan tengah kepada Publik.                                                  2. UU KIP no14 th 2008                                                         3. SK Gub 188.44/322/2011</w:t>
            </w:r>
          </w:p>
        </w:tc>
        <w:tc>
          <w:tcPr>
            <w:tcW w:w="5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 Sebelum adanya UU No 14 th 2008, telah lahir Instruksi Gubernur Kalteng no,or 28 tahun 2006 tentang kewajiban seluruh Badan, Dinas, Lembaga, Unit, SKPD Pemprov Kalteng untuk mempublikasikan data dan informasi kepada publik melalui akses website www.kalteng.go.id .                                                                                 2. ada aturan pada UU Komisi Informasi Publik dan di Prov Kalteng telah terbentuk KPID melalu SK Gub 188.44/322/2011 dasumsikan informasi publik bisa diakses sesuai peraturan (mudah). Pada penelitian ini informasi relatif mudah didapat, meskipun ada beberapa data tidak mudah atau bahkan tidak didapat, baik karena alasan administrasi dokumen yang buruk maupun adanya keengganan pejabat terkait</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211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AIIa2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Kewajiban memiliki petugas khusus yang menangani permintaan informasi</w:t>
            </w:r>
          </w:p>
        </w:tc>
        <w:tc>
          <w:tcPr>
            <w:tcW w:w="1894" w:type="dxa"/>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idem</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wajib menyediakan Pejabat Pengelola Informasi, akan tetapi belum semua instansi menyelenggsarakan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AIIa3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894" w:type="dxa"/>
            <w:tcBorders>
              <w:top w:val="single" w:sz="4" w:space="0" w:color="auto"/>
              <w:left w:val="nil"/>
              <w:bottom w:val="single" w:sz="4" w:space="0" w:color="auto"/>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idem</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diatur di pasal  11 sd 16 UU KIP, meskipun dalam prakteknya belum seluruhnya bisa diakses di Prov Kalteng barangkali karena beluma da peraturan pendukung di tingkat Provinsi</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AIIa4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894"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idem dan Perda No. 8 th 2003</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aturan, kurang baik me-ngatur informasi yang diumum-kan; Pada Pasal 53, hanya mengatur secara umum tentang penyebarluasan informasi. Tidak  ada SOPnya.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2</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AIIa5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idem</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semua informasi bisa diakses, selain yang dikecualikan berdasar Undang-Undang, meskipun pada prakteknya masih ada kendala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AIIa6</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Sanksi bagi pihak-pihak yang sengaja menghambat akses publik atas informasi</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UU KIP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di level UU, tidak ada di level Perda dan Pergub</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UU, Permenhut, Perda</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258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AIIb1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894"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No 13 tahun 2009</w:t>
            </w:r>
          </w:p>
        </w:tc>
        <w:tc>
          <w:tcPr>
            <w:tcW w:w="5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Mengatur Hak Pengelolaan tanah adat di Kalteng, yang diberikan kepada Damang Kepala Adat bersama fungsionasirnya mulai dari pengjuan SKTK, verifikasi hingga penetapannya. Akan tetapi dalam kenyataanya hal ini tidak diakui oleh negara, hal ini tercermin dari banyaknya sengketa antara perusahaan dg Masayarakat Adat yang pada akhirnya hak SKTK yang diterbitkan Damang Kepala Adat Kabupaten kalah dengan misal HGU yang dikuasai perusahaan. </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4</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AIIb2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mendapatkan izin pengelolaan</w:t>
            </w:r>
          </w:p>
        </w:tc>
        <w:tc>
          <w:tcPr>
            <w:tcW w:w="1894"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Perda No 1 tahun 2002</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aturan, cukup baik menga-tur mekanisme mendapatkan izin pengelolaan; Dalam Perda No 1 Tahun 2002 Tentang Usaha Pemanfaatan hasil Hutan dan Kawasan Hutan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495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AIIb3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Keuntungan bagi masyarakat Adat/Lokal</w:t>
            </w:r>
          </w:p>
        </w:tc>
        <w:tc>
          <w:tcPr>
            <w:tcW w:w="1894"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Perda No. 16 th 2008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Perda tentang Kelembagaan Adat Dayak boleh dikata menjaga keuntungan bagi masyarakat adat/lokal mengingat hampir semua wilayah usaha terutama di hutan di wilayah masyarakat adat/lokal, karena di Bab 2 pasal 2 tujuan Perda tersebut agar upaya pemberdayaan Lembaga Adat Dayak</w:t>
            </w:r>
            <w:r w:rsidRPr="007E5CB3">
              <w:rPr>
                <w:rFonts w:ascii="Times New Roman" w:eastAsia="Times New Roman" w:hAnsi="Times New Roman" w:cs="Times New Roman"/>
                <w:color w:val="000000"/>
                <w:sz w:val="20"/>
                <w:szCs w:val="20"/>
                <w:lang w:eastAsia="id-ID"/>
              </w:rPr>
              <w:br/>
              <w:t>mampu mendorong, menunjang dan meningkatkan partisipasi</w:t>
            </w:r>
            <w:r w:rsidRPr="007E5CB3">
              <w:rPr>
                <w:rFonts w:ascii="Times New Roman" w:eastAsia="Times New Roman" w:hAnsi="Times New Roman" w:cs="Times New Roman"/>
                <w:color w:val="000000"/>
                <w:sz w:val="20"/>
                <w:szCs w:val="20"/>
                <w:lang w:eastAsia="id-ID"/>
              </w:rPr>
              <w:br/>
              <w:t>Masyarakat Adat Dayak guna kelancaran penyelenggaraan</w:t>
            </w:r>
            <w:r w:rsidRPr="007E5CB3">
              <w:rPr>
                <w:rFonts w:ascii="Times New Roman" w:eastAsia="Times New Roman" w:hAnsi="Times New Roman" w:cs="Times New Roman"/>
                <w:color w:val="000000"/>
                <w:sz w:val="20"/>
                <w:szCs w:val="20"/>
                <w:lang w:eastAsia="id-ID"/>
              </w:rPr>
              <w:br/>
              <w:t>pemerintahan, pelaksanaan pembangunan, dan pembinaan</w:t>
            </w:r>
            <w:r w:rsidRPr="007E5CB3">
              <w:rPr>
                <w:rFonts w:ascii="Times New Roman" w:eastAsia="Times New Roman" w:hAnsi="Times New Roman" w:cs="Times New Roman"/>
                <w:color w:val="000000"/>
                <w:sz w:val="20"/>
                <w:szCs w:val="20"/>
                <w:lang w:eastAsia="id-ID"/>
              </w:rPr>
              <w:br/>
              <w:t>masyarakat di daerah, terutama di desa/kelurahan sehingga</w:t>
            </w:r>
            <w:r w:rsidRPr="007E5CB3">
              <w:rPr>
                <w:rFonts w:ascii="Times New Roman" w:eastAsia="Times New Roman" w:hAnsi="Times New Roman" w:cs="Times New Roman"/>
                <w:color w:val="000000"/>
                <w:sz w:val="20"/>
                <w:szCs w:val="20"/>
                <w:lang w:eastAsia="id-ID"/>
              </w:rPr>
              <w:br/>
              <w:t>Masyarakat Adat Dayak setempat merasa dihargai secara utuh</w:t>
            </w:r>
            <w:r w:rsidRPr="007E5CB3">
              <w:rPr>
                <w:rFonts w:ascii="Times New Roman" w:eastAsia="Times New Roman" w:hAnsi="Times New Roman" w:cs="Times New Roman"/>
                <w:color w:val="000000"/>
                <w:sz w:val="20"/>
                <w:szCs w:val="20"/>
                <w:lang w:eastAsia="id-ID"/>
              </w:rPr>
              <w:br/>
              <w:t>sehingga terpanggil untuk turut serta bertanggung jawab atas rasa</w:t>
            </w:r>
            <w:r w:rsidRPr="007E5CB3">
              <w:rPr>
                <w:rFonts w:ascii="Times New Roman" w:eastAsia="Times New Roman" w:hAnsi="Times New Roman" w:cs="Times New Roman"/>
                <w:color w:val="000000"/>
                <w:sz w:val="20"/>
                <w:szCs w:val="20"/>
                <w:lang w:eastAsia="id-ID"/>
              </w:rPr>
              <w:br/>
              <w:t xml:space="preserve">keadilan, kesejahteraan - </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UU, Permenhut, Perda</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AIIc1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aturan, mengatur dengan</w:t>
            </w:r>
            <w:r w:rsidRPr="007E5CB3">
              <w:rPr>
                <w:rFonts w:ascii="Times New Roman" w:eastAsia="Times New Roman" w:hAnsi="Times New Roman" w:cs="Times New Roman"/>
                <w:i/>
                <w:iCs/>
                <w:color w:val="000000"/>
                <w:sz w:val="20"/>
                <w:szCs w:val="20"/>
                <w:lang w:eastAsia="id-ID"/>
              </w:rPr>
              <w:t xml:space="preserve"> baik </w:t>
            </w:r>
            <w:r w:rsidRPr="007E5CB3">
              <w:rPr>
                <w:rFonts w:ascii="Times New Roman" w:eastAsia="Times New Roman" w:hAnsi="Times New Roman" w:cs="Times New Roman"/>
                <w:color w:val="000000"/>
                <w:sz w:val="20"/>
                <w:szCs w:val="20"/>
                <w:lang w:eastAsia="id-ID"/>
              </w:rPr>
              <w:t>sanksi/ancaman hukum; Diatur di Pasal 20 (Larangan), 85 (Pencabutan Izin) dan 91 (Ketentuan Pidana)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AIIc2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yang menga-tur sanksi/ancaman hukum bagi pejabat pemberi izin (di atas lahan yang telah memiliki hak);</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AIIc3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Ganti rugi bagi pemegang hak yang dirugikan (mudah &amp; memadai)</w:t>
            </w:r>
          </w:p>
        </w:tc>
        <w:tc>
          <w:tcPr>
            <w:tcW w:w="1894"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Perda No 8 tahun 2003</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aturan, namun kurang memadai  menga-tur ganti rugi. Perda No 8 Tahun 2003 Tentang RTRWP pada Pasal 52 dan 55 hanya mngatur secara umum tanpa menjelaskan mekanisme gantiruginya.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2</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lastRenderedPageBreak/>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UU, Permenhut, Perda</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AIId1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894"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Perda No 8 tahun 2003</w:t>
            </w:r>
          </w:p>
        </w:tc>
        <w:tc>
          <w:tcPr>
            <w:tcW w:w="5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aturan, cukup baik mengatur program peningkatan kapasi-tas masyarakat Adat/ Lokal untuk mengakses hak pengelolaan hutan. Dalam Perda No 8 Tahun 2003 Bab V Pasal 41 mengatur tentang Pembinaan dan Pengendalian pemanfaatan ruang.</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AIId2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peningkatan kapasitas pemerintah (pada tingkatan) lebih rendah</w:t>
            </w:r>
          </w:p>
        </w:tc>
        <w:tc>
          <w:tcPr>
            <w:tcW w:w="1894"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Perda No 18 tahun 2008</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Adanya pasal yang mengatur segi pendanaan melalui APBD Prov, APBD Kab/Kota dan Donasi tak mengikat, bisa diasumsikan adanya program peningkatan kapasitas</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AIId3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mengakses anggaran peningkatan kapasitas bagi masyarakat Adat/Lokal</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idem</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disebut dengan jelas, karena padaPeraturan ini hanya menyebut kedudukan, sumber anggaran lembaga adat Dayak di Kalteng</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AIId4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yang mengatur program peningkatan kapasi-tas masyarakatdan pemerintah Daerah secara partisipatif;</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3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Isu dalam PGA REDD+</w:t>
            </w:r>
          </w:p>
        </w:tc>
        <w:tc>
          <w:tcPr>
            <w:tcW w:w="7249"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III. Pengorganisasian Hutan</w:t>
            </w: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UU, Permenhut</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AIIIa1</w:t>
            </w:r>
          </w:p>
        </w:tc>
        <w:tc>
          <w:tcPr>
            <w:tcW w:w="2611"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Kejelasan tugas &amp; wewenang pengelolaan hutan &amp; lahan gambut</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No 10 Tahun 2012</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aturan, cukup baik menga-tur; Pergub No 10 Tahun 2012 tentang Strada REDD+</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AIIIa2</w:t>
            </w:r>
          </w:p>
        </w:tc>
        <w:tc>
          <w:tcPr>
            <w:tcW w:w="2611"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Transparansi output tahunan dan capaian institusi</w:t>
            </w:r>
          </w:p>
        </w:tc>
        <w:tc>
          <w:tcPr>
            <w:tcW w:w="1894"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yang mengatur transparansi output tahunan dan capaian institusi di Kalteng;</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78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AIIIa3</w:t>
            </w:r>
          </w:p>
        </w:tc>
        <w:tc>
          <w:tcPr>
            <w:tcW w:w="2611"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Anggaran berbasis kinerja (Budget based on performance)</w:t>
            </w:r>
          </w:p>
        </w:tc>
        <w:tc>
          <w:tcPr>
            <w:tcW w:w="1894"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laporan keuangan Dana Dekonsentrasi Bidang SDM dan Penyuluhan Dishut Kalteng tahun 2011</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contoh sebuah laporan berbasis kinerja, mungkin bisa menjadi indikator adanya aturan terkait pertanyaan ini</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AIIIa4</w:t>
            </w:r>
          </w:p>
        </w:tc>
        <w:tc>
          <w:tcPr>
            <w:tcW w:w="2611" w:type="dxa"/>
            <w:tcBorders>
              <w:top w:val="nil"/>
              <w:left w:val="nil"/>
              <w:bottom w:val="single" w:sz="4" w:space="0" w:color="auto"/>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894"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No 10 Tahun 2012</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salah satu contoh peraturan desentralisasi kebijakan pemerintah pusat di daeerah terkait pelaknsaan program REDD+ di Kalteng</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4</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:(permenkum-ham) Cek dibiro hukum prov/kab</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lastRenderedPageBreak/>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232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AIIIb1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Kejelasan lembaga yang bertanggung jawab</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di Perda yang atur Organisasi dan Tatalaksana (Ortala) Pemerintahan Provinsi Kalteng</w:t>
            </w:r>
          </w:p>
        </w:tc>
        <w:tc>
          <w:tcPr>
            <w:tcW w:w="5355" w:type="dxa"/>
            <w:tcBorders>
              <w:top w:val="nil"/>
              <w:left w:val="nil"/>
              <w:bottom w:val="single" w:sz="4" w:space="0" w:color="auto"/>
              <w:right w:val="single" w:sz="4" w:space="0" w:color="auto"/>
            </w:tcBorders>
            <w:shd w:val="clear" w:color="000000" w:fill="FFFFFF"/>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Biro Hukum Pemprov Kalteng, ada bagian Peraturan dan Per Undang-Undangan</w:t>
            </w:r>
          </w:p>
        </w:tc>
        <w:tc>
          <w:tcPr>
            <w:tcW w:w="1789" w:type="dxa"/>
            <w:tcBorders>
              <w:top w:val="nil"/>
              <w:left w:val="nil"/>
              <w:bottom w:val="single" w:sz="4" w:space="0" w:color="auto"/>
              <w:right w:val="single" w:sz="4" w:space="0" w:color="auto"/>
            </w:tcBorders>
            <w:shd w:val="clear" w:color="000000" w:fill="FFFFFF"/>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4</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AIIIb2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harmonisasi aturan sebelum diundangkan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idem</w:t>
            </w:r>
          </w:p>
        </w:tc>
        <w:tc>
          <w:tcPr>
            <w:tcW w:w="5355" w:type="dxa"/>
            <w:tcBorders>
              <w:top w:val="nil"/>
              <w:left w:val="nil"/>
              <w:bottom w:val="single" w:sz="4" w:space="0" w:color="auto"/>
              <w:right w:val="single" w:sz="4" w:space="0" w:color="auto"/>
            </w:tcBorders>
            <w:shd w:val="clear" w:color="000000" w:fill="FFFFFF"/>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mekanisme harmonisasi di situ</w:t>
            </w:r>
          </w:p>
        </w:tc>
        <w:tc>
          <w:tcPr>
            <w:tcW w:w="1789" w:type="dxa"/>
            <w:tcBorders>
              <w:top w:val="nil"/>
              <w:left w:val="nil"/>
              <w:bottom w:val="single" w:sz="4" w:space="0" w:color="auto"/>
              <w:right w:val="single" w:sz="4" w:space="0" w:color="auto"/>
            </w:tcBorders>
            <w:shd w:val="clear" w:color="000000" w:fill="FFFFFF"/>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4</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permenpan/SK Gub/Bup/Inpres 5/2004</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nil"/>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AIIIc1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Keterbukaan proses pengisian posisi strategis</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AIIIc2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Penilaian pihak ketiga (independen) dalam proses pemilihan SDM</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AIIIc3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Tidak ada aturan yang menga-tur </w:t>
            </w:r>
            <w:r w:rsidRPr="007E5CB3">
              <w:rPr>
                <w:rFonts w:ascii="Times New Roman" w:eastAsia="Times New Roman" w:hAnsi="Times New Roman" w:cs="Times New Roman"/>
                <w:i/>
                <w:iCs/>
                <w:color w:val="000000"/>
                <w:sz w:val="20"/>
                <w:szCs w:val="20"/>
                <w:lang w:eastAsia="id-ID"/>
              </w:rPr>
              <w:t>life style checking</w:t>
            </w:r>
            <w:r w:rsidRPr="007E5CB3">
              <w:rPr>
                <w:rFonts w:ascii="Times New Roman" w:eastAsia="Times New Roman" w:hAnsi="Times New Roman" w:cs="Times New Roman"/>
                <w:color w:val="000000"/>
                <w:sz w:val="20"/>
                <w:szCs w:val="20"/>
                <w:lang w:eastAsia="id-ID"/>
              </w:rPr>
              <w:t xml:space="preserve"> dan kewajar-an harta dengan bantuan PPATK;</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AIIIc4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Kewajiban verifikasi LHKPN dengan bantuan KPK</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yang menga-turkewajiban verifikasi KHKPN dengan bantuan KPK;</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AIIIc5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Batasan Conflict of Interest &amp; mekanisme yang harus dilakukan</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Tidak ada aturan yang menga-turbatasan </w:t>
            </w:r>
            <w:r w:rsidRPr="007E5CB3">
              <w:rPr>
                <w:rFonts w:ascii="Times New Roman" w:eastAsia="Times New Roman" w:hAnsi="Times New Roman" w:cs="Times New Roman"/>
                <w:i/>
                <w:iCs/>
                <w:color w:val="000000"/>
                <w:sz w:val="20"/>
                <w:szCs w:val="20"/>
                <w:lang w:eastAsia="id-ID"/>
              </w:rPr>
              <w:t>Conflict of Interest</w:t>
            </w:r>
            <w:r w:rsidRPr="007E5CB3">
              <w:rPr>
                <w:rFonts w:ascii="Times New Roman" w:eastAsia="Times New Roman" w:hAnsi="Times New Roman" w:cs="Times New Roman"/>
                <w:color w:val="000000"/>
                <w:sz w:val="20"/>
                <w:szCs w:val="20"/>
                <w:lang w:eastAsia="id-ID"/>
              </w:rPr>
              <w:t>&amp; mekanisme yang harus dilakukan;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AIIIc6</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Pembuatan pakta integritas, pemenuhan kode etik dan kontrak kinerja</w:t>
            </w:r>
          </w:p>
        </w:tc>
        <w:tc>
          <w:tcPr>
            <w:tcW w:w="1894" w:type="dxa"/>
            <w:tcBorders>
              <w:top w:val="nil"/>
              <w:left w:val="nil"/>
              <w:bottom w:val="single" w:sz="4" w:space="0" w:color="auto"/>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 yang menga-tur pembuatan pakta integritas, pemenuhan kode etik dan kontrak kinerja;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7E5CB3" w:rsidRPr="007E5CB3" w:rsidTr="007E5CB3">
        <w:trPr>
          <w:trHeight w:val="6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terkait dengan aturan lain, SK kemenhut/ kejaksaan/Kehakiman/KPK/PPATK, Kemenkeu</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AIIId1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Pembenahan case manage-ment sehingga menutup celah-celah abuse of power</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AIIId2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Sistem pengawasan dan pen-disiplinan internal di lembaga penegak hukum</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dokumen relevan, meskipun besar kemungkinan ada dokumen tersebut di masing-masing instansi. Akan tetapi ketika dilakukan wawancara atau permintaan dokumen ybs tidak bisa memberikan.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80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AIIId3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Laporan</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berkas Laporan, seperti di kejaksaan Tinggi dan Pengadilan Tinggi akan tetapi hanya dibacakan saja dan tidak boleh dicopy</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AIIId4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dokumen relevan, meskipun besar kemungkinan ada dokumen dimaksud</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AIIId5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Pemenuhan rasio jumlah penegak hukum di bidang kehutanan dan lahan gambut</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didapat dokumen, meskipun pada wawancara baik di Taman Nasional Sebangau maupun di Dishut Prov Kalteng dinyatakan kurang memadai</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AIIId6</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insentif dan disinsentif untuk mencapai penaatan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3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Isu dalam PGA REDD+</w:t>
            </w:r>
          </w:p>
        </w:tc>
        <w:tc>
          <w:tcPr>
            <w:tcW w:w="7249"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IV. Pengelolaan Hutan</w:t>
            </w: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25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AIVa1</w:t>
            </w:r>
          </w:p>
        </w:tc>
        <w:tc>
          <w:tcPr>
            <w:tcW w:w="2611" w:type="dxa"/>
            <w:vMerge w:val="restart"/>
            <w:tcBorders>
              <w:top w:val="nil"/>
              <w:left w:val="single" w:sz="4" w:space="0" w:color="auto"/>
              <w:bottom w:val="single" w:sz="4" w:space="0" w:color="000000"/>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FF0000"/>
                <w:sz w:val="20"/>
                <w:szCs w:val="20"/>
                <w:lang w:eastAsia="id-ID"/>
              </w:rPr>
            </w:pPr>
            <w:r w:rsidRPr="007E5CB3">
              <w:rPr>
                <w:rFonts w:ascii="Times New Roman" w:eastAsia="Times New Roman" w:hAnsi="Times New Roman" w:cs="Times New Roman"/>
                <w:color w:val="FF0000"/>
                <w:sz w:val="20"/>
                <w:szCs w:val="20"/>
                <w:lang w:eastAsia="id-ID"/>
              </w:rPr>
              <w:t>Tidak ada Item data dari sumber awal</w:t>
            </w:r>
          </w:p>
        </w:tc>
        <w:tc>
          <w:tcPr>
            <w:tcW w:w="1894"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000000" w:fill="FFFF00"/>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1789"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r>
      <w:tr w:rsidR="007E5CB3" w:rsidRPr="007E5CB3" w:rsidTr="007E5CB3">
        <w:trPr>
          <w:trHeight w:val="25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AIVa2</w:t>
            </w:r>
          </w:p>
        </w:tc>
        <w:tc>
          <w:tcPr>
            <w:tcW w:w="2611" w:type="dxa"/>
            <w:vMerge/>
            <w:tcBorders>
              <w:top w:val="nil"/>
              <w:left w:val="single" w:sz="4" w:space="0" w:color="auto"/>
              <w:bottom w:val="single" w:sz="4" w:space="0" w:color="000000"/>
              <w:right w:val="single" w:sz="4" w:space="0" w:color="auto"/>
            </w:tcBorders>
            <w:vAlign w:val="center"/>
            <w:hideMark/>
          </w:tcPr>
          <w:p w:rsidR="007E5CB3" w:rsidRPr="007E5CB3" w:rsidRDefault="007E5CB3" w:rsidP="007E5CB3">
            <w:pPr>
              <w:spacing w:after="0" w:line="240" w:lineRule="auto"/>
              <w:rPr>
                <w:rFonts w:ascii="Times New Roman" w:eastAsia="Times New Roman" w:hAnsi="Times New Roman" w:cs="Times New Roman"/>
                <w:color w:val="FF0000"/>
                <w:sz w:val="20"/>
                <w:szCs w:val="20"/>
                <w:lang w:eastAsia="id-ID"/>
              </w:rPr>
            </w:pPr>
          </w:p>
        </w:tc>
        <w:tc>
          <w:tcPr>
            <w:tcW w:w="1894"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1789"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SK Menhut/pertanian/ SK/perda-Gub/Bup</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78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AIVb1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Inpres 2 tahun 2007 dan Masterplan Rehabilitasi dan Revitalisasi Lahan gambut ex sejuta ha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Masteplan Rehabilitasi dan revitalisasi Lahan gambut ex PLG - yang merupakan cetak biru program rehabilitasi dan revitalisasi lahan gambut 1 juta ha ex PLG yang ditindak lanjuti dengan Rencana kegiatan di tingkat provinsi Kalteng. Yang dalam hal ini telah dilakukan konsultasi dan sosialisasi kepada seluruh stkeholder sejak tahun 2006-2009</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5</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AIVb2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AIVb3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Instruksi Gubernur no 28 th 2006</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baru pada tahan publikasi dari institusi pemerintah rutin saja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2</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AIVb4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akan tetapi ada forum RPJMD setiap tahun, namun tersedia website Pengadaan Barang dan Jasa Publik di LPSE</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2</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AIVb5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AIVb6</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Sanksi bagi pihak-pihak yang sengaja menghambat akses publik atas informasi</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aturan di tingkat provinsi</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SK Menhut/Pertanian, SK/Perda-Gub/Bup</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AIVc1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data relevan, meskipun besar kemungkinan data tersebut ada, hal ini karena tidak didapat data di dinas kehutanan Prov Kalteng karena pejabat tidak ada ditempat dalam rentang penelitian ke lapangan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AIVc2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tidak diperoleh data relevan, meskipun besar kemungkinan data tersebut ada, hal ini karena tidak didapat data di dinas kehutanan Prov Kalteng karena pejabat tidak ada ditempat dalam rentang penelitian ke lapangan. </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AIVc3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data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AIVc4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Dokumentasi setiap masukan baik yang tertulis ataupun tidak</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tidak diperoleh dokumen relevan karena pejabat yang berwenang tidak ada ditempat </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AIVc5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Pemberian respon yang bersifat terbuka atas setiap masukan yang ada</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AIVc6</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Pemberian penjelasan atas keputusan akhir yang diambil</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data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0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25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AIVd1</w:t>
            </w:r>
          </w:p>
        </w:tc>
        <w:tc>
          <w:tcPr>
            <w:tcW w:w="2611" w:type="dxa"/>
            <w:vMerge w:val="restart"/>
            <w:tcBorders>
              <w:top w:val="nil"/>
              <w:left w:val="single" w:sz="4" w:space="0" w:color="auto"/>
              <w:bottom w:val="single" w:sz="4" w:space="0" w:color="000000"/>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FF0000"/>
                <w:sz w:val="20"/>
                <w:szCs w:val="20"/>
                <w:lang w:eastAsia="id-ID"/>
              </w:rPr>
            </w:pPr>
            <w:r w:rsidRPr="007E5CB3">
              <w:rPr>
                <w:rFonts w:ascii="Times New Roman" w:eastAsia="Times New Roman" w:hAnsi="Times New Roman" w:cs="Times New Roman"/>
                <w:color w:val="FF0000"/>
                <w:sz w:val="20"/>
                <w:szCs w:val="20"/>
                <w:lang w:eastAsia="id-ID"/>
              </w:rPr>
              <w:t>Tidak ada Item data dari sumber awal</w:t>
            </w:r>
          </w:p>
        </w:tc>
        <w:tc>
          <w:tcPr>
            <w:tcW w:w="1894"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000000" w:fill="FFFF00"/>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1789"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r>
      <w:tr w:rsidR="007E5CB3" w:rsidRPr="007E5CB3" w:rsidTr="007E5CB3">
        <w:trPr>
          <w:trHeight w:val="25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AIVd2</w:t>
            </w:r>
          </w:p>
        </w:tc>
        <w:tc>
          <w:tcPr>
            <w:tcW w:w="2611" w:type="dxa"/>
            <w:vMerge/>
            <w:tcBorders>
              <w:top w:val="nil"/>
              <w:left w:val="single" w:sz="4" w:space="0" w:color="auto"/>
              <w:bottom w:val="single" w:sz="4" w:space="0" w:color="000000"/>
              <w:right w:val="single" w:sz="4" w:space="0" w:color="auto"/>
            </w:tcBorders>
            <w:vAlign w:val="center"/>
            <w:hideMark/>
          </w:tcPr>
          <w:p w:rsidR="007E5CB3" w:rsidRPr="007E5CB3" w:rsidRDefault="007E5CB3" w:rsidP="007E5CB3">
            <w:pPr>
              <w:spacing w:after="0" w:line="240" w:lineRule="auto"/>
              <w:rPr>
                <w:rFonts w:ascii="Times New Roman" w:eastAsia="Times New Roman" w:hAnsi="Times New Roman" w:cs="Times New Roman"/>
                <w:color w:val="FF0000"/>
                <w:sz w:val="20"/>
                <w:szCs w:val="20"/>
                <w:lang w:eastAsia="id-ID"/>
              </w:rPr>
            </w:pPr>
          </w:p>
        </w:tc>
        <w:tc>
          <w:tcPr>
            <w:tcW w:w="1894"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1789" w:type="dxa"/>
            <w:tcBorders>
              <w:top w:val="nil"/>
              <w:left w:val="nil"/>
              <w:bottom w:val="single" w:sz="4" w:space="0" w:color="auto"/>
              <w:right w:val="single" w:sz="4" w:space="0" w:color="auto"/>
            </w:tcBorders>
            <w:shd w:val="clear" w:color="000000" w:fill="FFFF00"/>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6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AIVe1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Website WALHI</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Tim Penyelesaian Sengketa Lahan di Prov Kalteng, tentu ada mekanisme di dalamnya *)</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AIVe2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resolusi konflik dan penyelesaian sengketa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Website WALHI</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idem, meskipun dari wawancara dg Dishut maupun Biro Hukum Pempov Kalteng dinyatakan belum ada SOP Resolusi Konflik</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AIVe3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Mediator memiliki keahlian dan pemahaman tentang isu-isu adat/masyarakat lokal</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 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AIVe4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lihat Field Note</w:t>
            </w: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3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Isu dalam PGA REDD+</w:t>
            </w:r>
          </w:p>
        </w:tc>
        <w:tc>
          <w:tcPr>
            <w:tcW w:w="7249"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V. Pengorganisasian Hutan</w:t>
            </w: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6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SK Menhut/Gub/Bu</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AVa1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53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AVa2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Instruksi Gubernur no 28 th 2006</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Kewajiban Badan, Dinas, Lembaga, Unit, SKPD di lingkungan Pemprov Kalteng mempublikasikan data dan informasi daerah secara terkoordinasi dan memanfaatkan IT di website www.kalteng.go.id. Aturan yang lahir sebelum UU no 14 tahun 2008 ini agak berbeda, karena belum semaju UU No. 14 th 2008</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2</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AVa3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Batasan atas informasi yg dapat diakses diatur dengan jelas dan didasarkan pada kepentingan publik (balancing public </w:t>
            </w:r>
            <w:r w:rsidRPr="007E5CB3">
              <w:rPr>
                <w:rFonts w:ascii="Times New Roman" w:eastAsia="Times New Roman" w:hAnsi="Times New Roman" w:cs="Times New Roman"/>
                <w:color w:val="000000"/>
                <w:sz w:val="20"/>
                <w:szCs w:val="20"/>
                <w:lang w:eastAsia="id-ID"/>
              </w:rPr>
              <w:lastRenderedPageBreak/>
              <w:t>interest test)</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AVa4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6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Per/SK menhut/Gub/Bup</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AVb1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AVb2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AVb3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Dokumentasi setiap laporan pengaduan baik yang tertulis ataupun tidak</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 sementara pd wawancara di Dishut tidak ada catatan detail, karena kasus adanya di Kabupaten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AVb4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AVb5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AVb6</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tersedia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6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7E5CB3">
              <w:rPr>
                <w:rFonts w:ascii="Times New Roman" w:eastAsia="Times New Roman" w:hAnsi="Times New Roman" w:cs="Times New Roman"/>
                <w:b/>
                <w:bCs/>
                <w:color w:val="000000"/>
                <w:sz w:val="20"/>
                <w:szCs w:val="20"/>
                <w:lang w:eastAsia="id-ID"/>
              </w:rPr>
              <w:br/>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AVc1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Pada sebagian masyarakat adat terdapat kearifan lokal yang memang menekankan untuk menjaga keseimbangan lingkungan sehingga masyarakat tidak melakukan eksploitasi sesuka hatinya. </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AVc2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ada aturannya makanya anggarannya tidak ada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6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7E5CB3">
              <w:rPr>
                <w:rFonts w:ascii="Times New Roman" w:eastAsia="Times New Roman" w:hAnsi="Times New Roman" w:cs="Times New Roman"/>
                <w:b/>
                <w:bCs/>
                <w:color w:val="000000"/>
                <w:sz w:val="20"/>
                <w:szCs w:val="20"/>
                <w:lang w:eastAsia="id-ID"/>
              </w:rPr>
              <w:br/>
            </w:r>
            <w:r w:rsidRPr="007E5CB3">
              <w:rPr>
                <w:rFonts w:ascii="Times New Roman" w:eastAsia="Times New Roman" w:hAnsi="Times New Roman" w:cs="Times New Roman"/>
                <w:b/>
                <w:bCs/>
                <w:color w:val="000000"/>
                <w:sz w:val="20"/>
                <w:szCs w:val="20"/>
                <w:lang w:eastAsia="id-ID"/>
              </w:rPr>
              <w:br/>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AVd1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Pelaksanaan perbaikan sistem secara partisipatif dari rekomendasi BPK dan KPK</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dokumen relevan karena pejabat berwenang tidak ada ditempat selama penelitian dilaksanakan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6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7E5CB3">
              <w:rPr>
                <w:rFonts w:ascii="Times New Roman" w:eastAsia="Times New Roman" w:hAnsi="Times New Roman" w:cs="Times New Roman"/>
                <w:b/>
                <w:bCs/>
                <w:color w:val="000000"/>
                <w:sz w:val="20"/>
                <w:szCs w:val="20"/>
                <w:lang w:eastAsia="id-ID"/>
              </w:rPr>
              <w:br/>
            </w:r>
            <w:r w:rsidRPr="007E5CB3">
              <w:rPr>
                <w:rFonts w:ascii="Times New Roman" w:eastAsia="Times New Roman" w:hAnsi="Times New Roman" w:cs="Times New Roman"/>
                <w:b/>
                <w:bCs/>
                <w:color w:val="000000"/>
                <w:sz w:val="20"/>
                <w:szCs w:val="20"/>
                <w:lang w:eastAsia="id-ID"/>
              </w:rPr>
              <w:br/>
            </w:r>
            <w:r w:rsidRPr="007E5CB3">
              <w:rPr>
                <w:rFonts w:ascii="Times New Roman" w:eastAsia="Times New Roman" w:hAnsi="Times New Roman" w:cs="Times New Roman"/>
                <w:b/>
                <w:bCs/>
                <w:color w:val="000000"/>
                <w:sz w:val="20"/>
                <w:szCs w:val="20"/>
                <w:lang w:eastAsia="id-ID"/>
              </w:rPr>
              <w:br/>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aturan KLH-kehutanan (satgas illegal loging)</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AVe1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xml:space="preserve">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didapat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3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Isu dalam PGA REDD+</w:t>
            </w:r>
          </w:p>
        </w:tc>
        <w:tc>
          <w:tcPr>
            <w:tcW w:w="7249"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IV. Infrastruktur REDD+</w:t>
            </w: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765"/>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7E5CB3" w:rsidRPr="007E5CB3" w:rsidTr="007E5CB3">
        <w:trPr>
          <w:trHeight w:val="39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9038" w:type="dxa"/>
            <w:gridSpan w:val="3"/>
            <w:tcBorders>
              <w:top w:val="nil"/>
              <w:left w:val="nil"/>
              <w:bottom w:val="single" w:sz="4" w:space="0" w:color="auto"/>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(UKP4, Permenhut, Perda/SK Gub/Bup)</w:t>
            </w:r>
            <w:r w:rsidRPr="007E5CB3">
              <w:rPr>
                <w:rFonts w:ascii="Times New Roman" w:eastAsia="Times New Roman" w:hAnsi="Times New Roman" w:cs="Times New Roman"/>
                <w:b/>
                <w:bCs/>
                <w:color w:val="000000"/>
                <w:sz w:val="20"/>
                <w:szCs w:val="20"/>
                <w:lang w:eastAsia="id-ID"/>
              </w:rPr>
              <w:br/>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53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AVIa1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894" w:type="dxa"/>
            <w:tcBorders>
              <w:top w:val="nil"/>
              <w:left w:val="nil"/>
              <w:bottom w:val="nil"/>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10 tahun 2012 dan SK Gub Kalteng NOMOR :  660/945/BLH/IV/2011</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10 tahun 2012 tentang STRADA REDD+ dan SK Gub No   660/945/BLH/IV/2011 tentang pemberntukan KOMDA REDD+  keduanya terkait hal tersebut</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5</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AVIa2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UU No 14 tahun 2008 ttg KIP</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diterapkan di Kalteng, meskipun sudah ada KID dan Inpres  Gubernur</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AVIa3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UU No 14 tahun 2008 ttg KIP</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cukup memadai dijalankan, akan tetapi terbentuk manajemen data dan hal-hal sensitif terkait anggaran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AVIa4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UU No 14 tahun 2008 ttg KIP</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cukup memadai dijalankan, akan tetapi terbentur manajemen data dan hal-hal sensitif terkait anggaran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AVIa5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Sanksi bagi pihak-pihak yang sengaja menghambat akses publik atas informasi</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UU No 14 tahun 2008 ttg KIP</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diterapkan di Kalteng, meskipun sudah ada KID dan Instruksi Gubernur</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765"/>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53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AVIb1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894" w:type="dxa"/>
            <w:tcBorders>
              <w:top w:val="nil"/>
              <w:left w:val="nil"/>
              <w:bottom w:val="nil"/>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10 tahun 2012 dan SK Gub Kalteng NOMOR :  660/945/BLH/IV/2011</w:t>
            </w:r>
          </w:p>
        </w:tc>
        <w:tc>
          <w:tcPr>
            <w:tcW w:w="5355"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sosialisasi dalam berbagai bentuk spt seminar, diskusi, dll</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AVIb2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894" w:type="dxa"/>
            <w:tcBorders>
              <w:top w:val="single" w:sz="4" w:space="0" w:color="auto"/>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idem</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kertelibatan stakeholder</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AVIb3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AVIb4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Dokumentasi setiap masukan baik yang tertulis ataupun tidak</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didapat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512"/>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AVIb5</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didapat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51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AVIb6</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Penjelasan atas keputusan akhir yang diambil</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didapat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AVIb7</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didapat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765"/>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229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AVIc1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894" w:type="dxa"/>
            <w:tcBorders>
              <w:top w:val="nil"/>
              <w:left w:val="nil"/>
              <w:bottom w:val="nil"/>
              <w:right w:val="nil"/>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10 tahun 2012 dan SK Gub Kalteng NOMOR :  660/945/BLH/IV/2011</w:t>
            </w:r>
          </w:p>
        </w:tc>
        <w:tc>
          <w:tcPr>
            <w:tcW w:w="5355"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di Satgas REDD+</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AVIc2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894" w:type="dxa"/>
            <w:tcBorders>
              <w:top w:val="single" w:sz="4" w:space="0" w:color="auto"/>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di Satgas REDD+</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AVIc3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Jasa mediator yang memiliki keahlian dan pemahaman tentang isu-isu adat</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tidak diperoleh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7E5CB3">
              <w:rPr>
                <w:rFonts w:ascii="Times New Roman" w:eastAsia="Times New Roman" w:hAnsi="Times New Roman" w:cs="Times New Roman"/>
                <w:b/>
                <w:bCs/>
                <w:color w:val="000000"/>
                <w:sz w:val="20"/>
                <w:szCs w:val="20"/>
                <w:lang w:eastAsia="id-ID"/>
              </w:rPr>
              <w:br/>
              <w:t xml:space="preserve"> </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255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AVId1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10 tahun 2012 dan SK Gub Kalteng NOMOR :  660/945/BLH/IV/2011, Laporan Kemitraan terkait Kerjasama dengan Pemprov Kalteng</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ada kegiatan sosiaslisasi dan konsultasi baik di tingkat prov, kabupaten maupun di tingkat masyarakat</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4</w:t>
            </w:r>
          </w:p>
        </w:tc>
      </w:tr>
      <w:tr w:rsidR="007E5CB3" w:rsidRPr="007E5CB3" w:rsidTr="007E5CB3">
        <w:trPr>
          <w:trHeight w:val="255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AVId2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Pergub 10 tahun 2012 dan SK Gub Kalteng NOMOR :  660/945/BLH/IV/2011, Laporan Kemitraan terkait Kerjasama dengan Pemprov Kalteng</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Laporan kemitraan terkait kegiatan sosialisasi seperti workshop, seminar di kalteng</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3</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93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7E5CB3">
              <w:rPr>
                <w:rFonts w:ascii="Times New Roman" w:eastAsia="Times New Roman" w:hAnsi="Times New Roman" w:cs="Times New Roman"/>
                <w:b/>
                <w:bCs/>
                <w:color w:val="000000"/>
                <w:sz w:val="20"/>
                <w:szCs w:val="20"/>
                <w:lang w:eastAsia="id-ID"/>
              </w:rPr>
              <w:br/>
              <w:t xml:space="preserve"> </w:t>
            </w:r>
            <w:r w:rsidRPr="007E5CB3">
              <w:rPr>
                <w:rFonts w:ascii="Times New Roman" w:eastAsia="Times New Roman" w:hAnsi="Times New Roman" w:cs="Times New Roman"/>
                <w:b/>
                <w:bCs/>
                <w:color w:val="000000"/>
                <w:sz w:val="20"/>
                <w:szCs w:val="20"/>
                <w:lang w:eastAsia="id-ID"/>
              </w:rPr>
              <w:br/>
              <w:t xml:space="preserve"> </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lastRenderedPageBreak/>
              <w:t>AVIe1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Pelaksanaan perbaikan sistem berdasarkan rekomendasi BPK secara partisipatif</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dokumen relvan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255"/>
        </w:trPr>
        <w:tc>
          <w:tcPr>
            <w:tcW w:w="79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2611"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894"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5355"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p>
        </w:tc>
        <w:tc>
          <w:tcPr>
            <w:tcW w:w="1789" w:type="dxa"/>
            <w:tcBorders>
              <w:top w:val="nil"/>
              <w:left w:val="nil"/>
              <w:bottom w:val="nil"/>
              <w:right w:val="nil"/>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p>
        </w:tc>
      </w:tr>
      <w:tr w:rsidR="007E5CB3" w:rsidRPr="007E5CB3" w:rsidTr="007E5CB3">
        <w:trPr>
          <w:trHeight w:val="780"/>
        </w:trPr>
        <w:tc>
          <w:tcPr>
            <w:tcW w:w="3402" w:type="dxa"/>
            <w:gridSpan w:val="2"/>
            <w:tcBorders>
              <w:top w:val="nil"/>
              <w:left w:val="nil"/>
              <w:bottom w:val="nil"/>
              <w:right w:val="nil"/>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Indikator</w:t>
            </w:r>
          </w:p>
        </w:tc>
        <w:tc>
          <w:tcPr>
            <w:tcW w:w="9038" w:type="dxa"/>
            <w:gridSpan w:val="3"/>
            <w:tcBorders>
              <w:top w:val="nil"/>
              <w:left w:val="nil"/>
              <w:bottom w:val="nil"/>
              <w:right w:val="nil"/>
            </w:tcBorders>
            <w:shd w:val="clear" w:color="auto" w:fill="auto"/>
            <w:vAlign w:val="center"/>
            <w:hideMark/>
          </w:tcPr>
          <w:p w:rsidR="007E5CB3" w:rsidRPr="007E5CB3" w:rsidRDefault="007E5CB3" w:rsidP="007E5CB3">
            <w:pPr>
              <w:spacing w:after="240" w:line="240" w:lineRule="auto"/>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7E5CB3">
              <w:rPr>
                <w:rFonts w:ascii="Times New Roman" w:eastAsia="Times New Roman" w:hAnsi="Times New Roman" w:cs="Times New Roman"/>
                <w:b/>
                <w:bCs/>
                <w:color w:val="000000"/>
                <w:sz w:val="20"/>
                <w:szCs w:val="20"/>
                <w:lang w:eastAsia="id-ID"/>
              </w:rPr>
              <w:br/>
              <w:t xml:space="preserve"> </w:t>
            </w:r>
          </w:p>
        </w:tc>
      </w:tr>
      <w:tr w:rsidR="007E5CB3" w:rsidRPr="007E5CB3" w:rsidTr="007E5CB3">
        <w:trPr>
          <w:trHeight w:val="255"/>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Kode</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Item Data</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Data</w:t>
            </w:r>
          </w:p>
        </w:tc>
        <w:tc>
          <w:tcPr>
            <w:tcW w:w="5355"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Sumber Dokumen Hukum dan Kebijakan</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b/>
                <w:bCs/>
                <w:color w:val="000000"/>
                <w:sz w:val="20"/>
                <w:szCs w:val="20"/>
                <w:lang w:eastAsia="id-ID"/>
              </w:rPr>
            </w:pPr>
            <w:r w:rsidRPr="007E5CB3">
              <w:rPr>
                <w:rFonts w:ascii="Times New Roman" w:eastAsia="Times New Roman" w:hAnsi="Times New Roman" w:cs="Times New Roman"/>
                <w:b/>
                <w:bCs/>
                <w:color w:val="000000"/>
                <w:sz w:val="20"/>
                <w:szCs w:val="20"/>
                <w:lang w:eastAsia="id-ID"/>
              </w:rPr>
              <w:t>Kategori Data</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AVIf1</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dokumen relevan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76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AVIf2</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dokumen relevan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27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AVIf3</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894"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dokumen relevan</w:t>
            </w:r>
          </w:p>
        </w:tc>
        <w:tc>
          <w:tcPr>
            <w:tcW w:w="1789"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r w:rsidR="007E5CB3" w:rsidRPr="007E5CB3" w:rsidTr="007E5CB3">
        <w:trPr>
          <w:trHeight w:val="1020"/>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AVIf4</w:t>
            </w:r>
          </w:p>
        </w:tc>
        <w:tc>
          <w:tcPr>
            <w:tcW w:w="2611" w:type="dxa"/>
            <w:tcBorders>
              <w:top w:val="nil"/>
              <w:left w:val="nil"/>
              <w:bottom w:val="single" w:sz="4" w:space="0" w:color="auto"/>
              <w:right w:val="single" w:sz="4" w:space="0" w:color="auto"/>
            </w:tcBorders>
            <w:shd w:val="clear" w:color="auto" w:fill="auto"/>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894"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 </w:t>
            </w:r>
          </w:p>
        </w:tc>
        <w:tc>
          <w:tcPr>
            <w:tcW w:w="5355"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belum ada dokumen relevan</w:t>
            </w:r>
          </w:p>
        </w:tc>
        <w:tc>
          <w:tcPr>
            <w:tcW w:w="1789" w:type="dxa"/>
            <w:tcBorders>
              <w:top w:val="nil"/>
              <w:left w:val="nil"/>
              <w:bottom w:val="single" w:sz="4" w:space="0" w:color="auto"/>
              <w:right w:val="single" w:sz="4" w:space="0" w:color="auto"/>
            </w:tcBorders>
            <w:shd w:val="clear" w:color="auto" w:fill="auto"/>
            <w:noWrap/>
            <w:vAlign w:val="center"/>
            <w:hideMark/>
          </w:tcPr>
          <w:p w:rsidR="007E5CB3" w:rsidRPr="007E5CB3" w:rsidRDefault="007E5CB3" w:rsidP="007E5CB3">
            <w:pPr>
              <w:spacing w:after="0" w:line="240" w:lineRule="auto"/>
              <w:jc w:val="center"/>
              <w:rPr>
                <w:rFonts w:ascii="Times New Roman" w:eastAsia="Times New Roman" w:hAnsi="Times New Roman" w:cs="Times New Roman"/>
                <w:color w:val="000000"/>
                <w:sz w:val="20"/>
                <w:szCs w:val="20"/>
                <w:lang w:eastAsia="id-ID"/>
              </w:rPr>
            </w:pPr>
            <w:r w:rsidRPr="007E5CB3">
              <w:rPr>
                <w:rFonts w:ascii="Times New Roman" w:eastAsia="Times New Roman" w:hAnsi="Times New Roman" w:cs="Times New Roman"/>
                <w:color w:val="000000"/>
                <w:sz w:val="20"/>
                <w:szCs w:val="20"/>
                <w:lang w:eastAsia="id-ID"/>
              </w:rPr>
              <w:t>1</w:t>
            </w:r>
          </w:p>
        </w:tc>
      </w:tr>
    </w:tbl>
    <w:p w:rsidR="007E5CB3" w:rsidRDefault="007E5CB3"/>
    <w:sectPr w:rsidR="007E5CB3"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376F34"/>
    <w:rsid w:val="004165D1"/>
    <w:rsid w:val="006E5970"/>
    <w:rsid w:val="007E5CB3"/>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font5">
    <w:name w:val="font5"/>
    <w:basedOn w:val="Normal"/>
    <w:rsid w:val="007E5CB3"/>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7E5CB3"/>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89">
    <w:name w:val="xl89"/>
    <w:basedOn w:val="Normal"/>
    <w:rsid w:val="007E5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id-ID"/>
    </w:rPr>
  </w:style>
  <w:style w:type="paragraph" w:customStyle="1" w:styleId="xl90">
    <w:name w:val="xl90"/>
    <w:basedOn w:val="Normal"/>
    <w:rsid w:val="007E5CB3"/>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id-ID"/>
    </w:rPr>
  </w:style>
  <w:style w:type="paragraph" w:customStyle="1" w:styleId="xl91">
    <w:name w:val="xl91"/>
    <w:basedOn w:val="Normal"/>
    <w:rsid w:val="007E5CB3"/>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id-ID"/>
    </w:rPr>
  </w:style>
  <w:style w:type="paragraph" w:customStyle="1" w:styleId="xl92">
    <w:name w:val="xl92"/>
    <w:basedOn w:val="Normal"/>
    <w:rsid w:val="007E5C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93">
    <w:name w:val="xl93"/>
    <w:basedOn w:val="Normal"/>
    <w:rsid w:val="007E5CB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94">
    <w:name w:val="xl94"/>
    <w:basedOn w:val="Normal"/>
    <w:rsid w:val="007E5C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95">
    <w:name w:val="xl95"/>
    <w:basedOn w:val="Normal"/>
    <w:rsid w:val="007E5C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96">
    <w:name w:val="xl96"/>
    <w:basedOn w:val="Normal"/>
    <w:rsid w:val="007E5C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97">
    <w:name w:val="xl97"/>
    <w:basedOn w:val="Normal"/>
    <w:rsid w:val="007E5C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98">
    <w:name w:val="xl98"/>
    <w:basedOn w:val="Normal"/>
    <w:rsid w:val="007E5C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99">
    <w:name w:val="xl99"/>
    <w:basedOn w:val="Normal"/>
    <w:rsid w:val="007E5C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100">
    <w:name w:val="xl100"/>
    <w:basedOn w:val="Normal"/>
    <w:rsid w:val="007E5C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101">
    <w:name w:val="xl101"/>
    <w:basedOn w:val="Normal"/>
    <w:rsid w:val="007E5CB3"/>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102">
    <w:name w:val="xl102"/>
    <w:basedOn w:val="Normal"/>
    <w:rsid w:val="007E5CB3"/>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103">
    <w:name w:val="xl103"/>
    <w:basedOn w:val="Normal"/>
    <w:rsid w:val="007E5C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04">
    <w:name w:val="xl104"/>
    <w:basedOn w:val="Normal"/>
    <w:rsid w:val="007E5C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05">
    <w:name w:val="xl105"/>
    <w:basedOn w:val="Normal"/>
    <w:rsid w:val="007E5C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2927209">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212306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5053</Words>
  <Characters>28803</Characters>
  <Application>Microsoft Office Word</Application>
  <DocSecurity>0</DocSecurity>
  <Lines>240</Lines>
  <Paragraphs>67</Paragraphs>
  <ScaleCrop>false</ScaleCrop>
  <Company/>
  <LinksUpToDate>false</LinksUpToDate>
  <CharactersWithSpaces>33789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2012-10-16T09:07:00Z</dcterms:modified>
</cp:coreProperties>
</file>